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BC1" w:rsidRDefault="00974D04" w:rsidP="005133D3">
      <w:pPr>
        <w:ind w:firstLine="0"/>
        <w:jc w:val="both"/>
        <w:rPr>
          <w:b/>
          <w:sz w:val="28"/>
        </w:rPr>
      </w:pPr>
      <w:r w:rsidRPr="00C94EA9">
        <w:rPr>
          <w:b/>
          <w:sz w:val="28"/>
        </w:rPr>
        <w:t>Best Homes, Inc.: Forecasting</w:t>
      </w:r>
    </w:p>
    <w:p w:rsidR="00974D04" w:rsidRDefault="00974D04" w:rsidP="005133D3">
      <w:pPr>
        <w:ind w:firstLine="0"/>
        <w:jc w:val="both"/>
        <w:rPr>
          <w:b/>
          <w:sz w:val="28"/>
        </w:rPr>
      </w:pPr>
      <w:r>
        <w:rPr>
          <w:b/>
          <w:sz w:val="28"/>
        </w:rPr>
        <w:t>Teaching Note</w:t>
      </w:r>
    </w:p>
    <w:p w:rsidR="000267C2" w:rsidRDefault="000267C2" w:rsidP="005133D3">
      <w:pPr>
        <w:ind w:firstLine="0"/>
        <w:jc w:val="both"/>
        <w:rPr>
          <w:b/>
          <w:sz w:val="28"/>
        </w:rPr>
      </w:pPr>
    </w:p>
    <w:p w:rsidR="000267C2" w:rsidRDefault="000267C2" w:rsidP="005133D3">
      <w:pPr>
        <w:ind w:firstLine="0"/>
        <w:jc w:val="both"/>
        <w:rPr>
          <w:u w:val="single"/>
        </w:rPr>
      </w:pPr>
      <w:r w:rsidRPr="000267C2">
        <w:rPr>
          <w:u w:val="single"/>
        </w:rPr>
        <w:t>Synopsis and Purpose</w:t>
      </w:r>
    </w:p>
    <w:p w:rsidR="000267C2" w:rsidRDefault="000267C2" w:rsidP="005133D3">
      <w:pPr>
        <w:ind w:firstLine="0"/>
        <w:jc w:val="both"/>
      </w:pPr>
    </w:p>
    <w:p w:rsidR="000267C2" w:rsidRDefault="000267C2" w:rsidP="005133D3">
      <w:pPr>
        <w:ind w:firstLine="0"/>
        <w:jc w:val="both"/>
      </w:pPr>
      <w:r>
        <w:t>Best Homes is one the largest builders of new residential homes in U.S. with 20,040 new homes built in 2015.  The case presents monthly sales data from 2011 to 2015. This data is representative</w:t>
      </w:r>
      <w:r w:rsidR="00CE73EE">
        <w:t xml:space="preserve"> of home builders since we estimated the sales of Best Homes based on a 4% market share of </w:t>
      </w:r>
      <w:r>
        <w:t>the total sales of new homes in the U.S. from the U</w:t>
      </w:r>
      <w:r w:rsidR="00CE73EE">
        <w:t>.S. Census web site</w:t>
      </w:r>
      <w:r>
        <w:t>.  Thus the trend and seasonality are in line with U.S. home sales in total.</w:t>
      </w:r>
    </w:p>
    <w:p w:rsidR="000267C2" w:rsidRDefault="000267C2" w:rsidP="005133D3">
      <w:pPr>
        <w:ind w:firstLine="0"/>
        <w:jc w:val="both"/>
      </w:pPr>
    </w:p>
    <w:p w:rsidR="000267C2" w:rsidRPr="000267C2" w:rsidRDefault="000267C2" w:rsidP="005133D3">
      <w:pPr>
        <w:ind w:firstLine="0"/>
        <w:jc w:val="both"/>
      </w:pPr>
      <w:r>
        <w:t>The case explains the problem facing Best Homes in terms of annual planni</w:t>
      </w:r>
      <w:r w:rsidR="00CE73EE">
        <w:t>ng and the S&amp;OP process.  F</w:t>
      </w:r>
      <w:r>
        <w:t>orecasting is put in the context of how the forecast will be used.  Also</w:t>
      </w:r>
      <w:r w:rsidR="00CE73EE">
        <w:t>,</w:t>
      </w:r>
      <w:r>
        <w:t xml:space="preserve"> sales projections are being gathered from the field, and the case asks students to reconcile those with the forecasts based on historical data.</w:t>
      </w:r>
    </w:p>
    <w:p w:rsidR="000267C2" w:rsidRDefault="000267C2" w:rsidP="005133D3">
      <w:pPr>
        <w:ind w:firstLine="0"/>
        <w:jc w:val="both"/>
        <w:rPr>
          <w:u w:val="single"/>
        </w:rPr>
      </w:pPr>
    </w:p>
    <w:p w:rsidR="000267C2" w:rsidRDefault="000267C2" w:rsidP="005133D3">
      <w:pPr>
        <w:ind w:firstLine="0"/>
        <w:jc w:val="both"/>
        <w:rPr>
          <w:u w:val="single"/>
        </w:rPr>
      </w:pPr>
    </w:p>
    <w:p w:rsidR="000267C2" w:rsidRDefault="000267C2" w:rsidP="005133D3">
      <w:pPr>
        <w:ind w:firstLine="0"/>
        <w:jc w:val="both"/>
        <w:rPr>
          <w:u w:val="single"/>
        </w:rPr>
      </w:pPr>
      <w:r>
        <w:rPr>
          <w:u w:val="single"/>
        </w:rPr>
        <w:t>Discussion Questions</w:t>
      </w:r>
    </w:p>
    <w:p w:rsidR="000267C2" w:rsidRPr="000267C2" w:rsidRDefault="000267C2" w:rsidP="005133D3">
      <w:pPr>
        <w:ind w:firstLine="0"/>
        <w:jc w:val="both"/>
      </w:pPr>
    </w:p>
    <w:p w:rsidR="000267C2" w:rsidRDefault="000267C2" w:rsidP="005133D3">
      <w:pPr>
        <w:pStyle w:val="ListParagraph"/>
        <w:numPr>
          <w:ilvl w:val="0"/>
          <w:numId w:val="1"/>
        </w:numPr>
        <w:ind w:left="360"/>
        <w:jc w:val="both"/>
      </w:pPr>
      <w:r>
        <w:t>What forecasting methods should the company consider?  Please justify.</w:t>
      </w:r>
    </w:p>
    <w:p w:rsidR="008F2687" w:rsidRDefault="008F2687" w:rsidP="005133D3">
      <w:pPr>
        <w:pStyle w:val="ListParagraph"/>
        <w:ind w:left="0" w:firstLine="0"/>
        <w:jc w:val="both"/>
      </w:pPr>
    </w:p>
    <w:p w:rsidR="000267C2" w:rsidRDefault="000267C2" w:rsidP="005133D3">
      <w:pPr>
        <w:pStyle w:val="ListParagraph"/>
        <w:numPr>
          <w:ilvl w:val="0"/>
          <w:numId w:val="1"/>
        </w:numPr>
        <w:ind w:left="360"/>
        <w:jc w:val="both"/>
      </w:pPr>
      <w:r>
        <w:t>Use the classical decomposition method to forecast average demand for 2016 by month. What is your forecast of monthly average demand for 2016?</w:t>
      </w:r>
    </w:p>
    <w:p w:rsidR="008F2687" w:rsidRDefault="008F2687" w:rsidP="005133D3">
      <w:pPr>
        <w:pStyle w:val="ListParagraph"/>
        <w:ind w:left="0" w:firstLine="0"/>
        <w:jc w:val="both"/>
      </w:pPr>
    </w:p>
    <w:p w:rsidR="000267C2" w:rsidRDefault="000267C2" w:rsidP="005133D3">
      <w:pPr>
        <w:pStyle w:val="ListParagraph"/>
        <w:numPr>
          <w:ilvl w:val="0"/>
          <w:numId w:val="1"/>
        </w:numPr>
        <w:ind w:left="360"/>
        <w:jc w:val="both"/>
      </w:pPr>
      <w:r>
        <w:t>Best Homes is also collecting sales projections from each of its regions for 2016? What role should these additional sales projections play, along with the</w:t>
      </w:r>
      <w:r w:rsidR="00CE73EE">
        <w:t xml:space="preserve"> forecast from </w:t>
      </w:r>
      <w:r w:rsidR="00BE4ABD">
        <w:t>question 2</w:t>
      </w:r>
      <w:r>
        <w:t xml:space="preserve"> in determining the final national forecast?</w:t>
      </w:r>
    </w:p>
    <w:p w:rsidR="000267C2" w:rsidRDefault="000267C2" w:rsidP="005133D3">
      <w:pPr>
        <w:ind w:firstLine="0"/>
        <w:jc w:val="both"/>
        <w:rPr>
          <w:u w:val="single"/>
        </w:rPr>
      </w:pPr>
    </w:p>
    <w:p w:rsidR="00145374" w:rsidRDefault="00CE73EE" w:rsidP="005133D3">
      <w:pPr>
        <w:ind w:firstLine="0"/>
        <w:jc w:val="both"/>
        <w:rPr>
          <w:u w:val="single"/>
        </w:rPr>
      </w:pPr>
      <w:r>
        <w:rPr>
          <w:u w:val="single"/>
        </w:rPr>
        <w:t>Analysis</w:t>
      </w:r>
    </w:p>
    <w:p w:rsidR="00145374" w:rsidRDefault="00145374" w:rsidP="005133D3">
      <w:pPr>
        <w:ind w:firstLine="0"/>
        <w:jc w:val="both"/>
        <w:rPr>
          <w:u w:val="single"/>
        </w:rPr>
      </w:pPr>
    </w:p>
    <w:p w:rsidR="00145374" w:rsidRPr="00145374" w:rsidRDefault="00145374" w:rsidP="005133D3">
      <w:pPr>
        <w:ind w:firstLine="0"/>
        <w:jc w:val="both"/>
      </w:pPr>
      <w:r w:rsidRPr="00145374">
        <w:t>Question 1:</w:t>
      </w:r>
    </w:p>
    <w:p w:rsidR="00145374" w:rsidRDefault="00145374" w:rsidP="005133D3">
      <w:pPr>
        <w:ind w:firstLine="0"/>
        <w:jc w:val="both"/>
        <w:rPr>
          <w:u w:val="single"/>
        </w:rPr>
      </w:pPr>
    </w:p>
    <w:p w:rsidR="00145374" w:rsidRPr="00145374" w:rsidRDefault="00145374" w:rsidP="005133D3">
      <w:pPr>
        <w:ind w:firstLine="0"/>
        <w:jc w:val="both"/>
      </w:pPr>
      <w:r>
        <w:t>Because of the seasonality and trend in the data, first order smoothing or a</w:t>
      </w:r>
      <w:r w:rsidR="00D31607">
        <w:t>n ordinary</w:t>
      </w:r>
      <w:r>
        <w:t xml:space="preserve"> moving average is not a good method for this case.  Students could choose either </w:t>
      </w:r>
      <w:proofErr w:type="gramStart"/>
      <w:r>
        <w:t>Winter’s</w:t>
      </w:r>
      <w:proofErr w:type="gramEnd"/>
      <w:r>
        <w:t xml:space="preserve"> Method of Exponential Smoothing or the Classical Decomposition Method from the Supplement to Chapter 10</w:t>
      </w:r>
      <w:r w:rsidR="00BE4ABD">
        <w:t xml:space="preserve"> in order to forecast the trend and seasonal effects</w:t>
      </w:r>
      <w:r>
        <w:t>.  We use the Classical Decomposition Method</w:t>
      </w:r>
      <w:r w:rsidR="00BE4ABD">
        <w:t xml:space="preserve"> for the next question</w:t>
      </w:r>
      <w:r>
        <w:t xml:space="preserve"> because we think it gives a better forecast and is more widely used in industry.</w:t>
      </w:r>
    </w:p>
    <w:p w:rsidR="00145374" w:rsidRDefault="00145374" w:rsidP="005133D3">
      <w:pPr>
        <w:ind w:firstLine="0"/>
        <w:jc w:val="both"/>
        <w:rPr>
          <w:u w:val="single"/>
        </w:rPr>
      </w:pPr>
    </w:p>
    <w:p w:rsidR="00145374" w:rsidRDefault="00145374" w:rsidP="005133D3">
      <w:pPr>
        <w:ind w:firstLine="0"/>
        <w:jc w:val="both"/>
        <w:rPr>
          <w:u w:val="single"/>
        </w:rPr>
      </w:pPr>
    </w:p>
    <w:p w:rsidR="000267C2" w:rsidRPr="00145374" w:rsidRDefault="00145374" w:rsidP="005133D3">
      <w:pPr>
        <w:ind w:firstLine="0"/>
        <w:jc w:val="both"/>
      </w:pPr>
      <w:r w:rsidRPr="00145374">
        <w:t>Question 2</w:t>
      </w:r>
      <w:r>
        <w:t>:</w:t>
      </w:r>
    </w:p>
    <w:p w:rsidR="008F2687" w:rsidRDefault="008F2687" w:rsidP="005133D3">
      <w:pPr>
        <w:ind w:firstLine="0"/>
        <w:jc w:val="both"/>
        <w:rPr>
          <w:u w:val="single"/>
        </w:rPr>
      </w:pP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t>The data i</w:t>
      </w:r>
      <w:r w:rsidR="00CE73EE">
        <w:rPr>
          <w:rFonts w:eastAsia="Times New Roman"/>
          <w:spacing w:val="-3"/>
        </w:rPr>
        <w:t>n the case is provided on the Instructor Resources</w:t>
      </w:r>
      <w:r w:rsidR="00BE4ABD">
        <w:rPr>
          <w:rFonts w:eastAsia="Times New Roman"/>
          <w:spacing w:val="-3"/>
        </w:rPr>
        <w:t xml:space="preserve"> Center</w:t>
      </w:r>
      <w:r w:rsidR="00CE73EE">
        <w:rPr>
          <w:rFonts w:eastAsia="Times New Roman"/>
          <w:spacing w:val="-3"/>
        </w:rPr>
        <w:t xml:space="preserve"> in </w:t>
      </w:r>
      <w:r w:rsidR="00BE4ABD">
        <w:rPr>
          <w:rFonts w:eastAsia="Times New Roman"/>
          <w:spacing w:val="-3"/>
        </w:rPr>
        <w:t xml:space="preserve">McGraw-Hill </w:t>
      </w:r>
      <w:r w:rsidR="00CE73EE">
        <w:rPr>
          <w:rFonts w:eastAsia="Times New Roman"/>
          <w:spacing w:val="-3"/>
        </w:rPr>
        <w:t>Connect</w:t>
      </w:r>
      <w:r w:rsidRPr="00145374">
        <w:rPr>
          <w:rFonts w:eastAsia="Times New Roman"/>
          <w:spacing w:val="-3"/>
        </w:rPr>
        <w:t xml:space="preserve"> for the textbook.  Only </w:t>
      </w:r>
      <w:r w:rsidR="00CE73EE">
        <w:rPr>
          <w:rFonts w:eastAsia="Times New Roman"/>
          <w:spacing w:val="-3"/>
        </w:rPr>
        <w:t xml:space="preserve">the </w:t>
      </w:r>
      <w:r w:rsidRPr="00145374">
        <w:rPr>
          <w:rFonts w:eastAsia="Times New Roman"/>
          <w:spacing w:val="-3"/>
        </w:rPr>
        <w:t>data is provided on the</w:t>
      </w:r>
      <w:r w:rsidR="00CE73EE">
        <w:rPr>
          <w:rFonts w:eastAsia="Times New Roman"/>
          <w:spacing w:val="-3"/>
        </w:rPr>
        <w:t xml:space="preserve"> Excel template</w:t>
      </w:r>
      <w:r w:rsidRPr="00145374">
        <w:rPr>
          <w:rFonts w:eastAsia="Times New Roman"/>
          <w:spacing w:val="-3"/>
        </w:rPr>
        <w:t xml:space="preserve">.  The user must enter the formulas and analysis.  </w:t>
      </w: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lastRenderedPageBreak/>
        <w:t xml:space="preserve">Sixty months of data are provided on the template, see Exhibit 1.  The first step in classical decomposition is to develop a 12-month moving average which is done in the 3rd column on the worksheet.  Then a 2-month moving average is developed in the 4th column which is centered on the original data.  The 4th column contains data which is </w:t>
      </w:r>
      <w:proofErr w:type="spellStart"/>
      <w:r w:rsidRPr="00145374">
        <w:rPr>
          <w:rFonts w:eastAsia="Times New Roman"/>
          <w:spacing w:val="-3"/>
        </w:rPr>
        <w:t>deseasonalized</w:t>
      </w:r>
      <w:proofErr w:type="spellEnd"/>
      <w:r w:rsidRPr="00145374">
        <w:rPr>
          <w:rFonts w:eastAsia="Times New Roman"/>
          <w:spacing w:val="-3"/>
        </w:rPr>
        <w:t>, since 12 months has been used as a base in the moving average.  At this point the upward trend in the moving average in column 4 is apparent.</w:t>
      </w: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t xml:space="preserve">In column 5 seasonal ratios are computed by dividing the sales data for each month by the moving average in column 4.  </w:t>
      </w:r>
      <w:r>
        <w:rPr>
          <w:rFonts w:eastAsia="Times New Roman"/>
          <w:spacing w:val="-3"/>
        </w:rPr>
        <w:t xml:space="preserve">The data indicates </w:t>
      </w:r>
      <w:r w:rsidR="001E6E6C">
        <w:rPr>
          <w:rFonts w:eastAsia="Times New Roman"/>
          <w:spacing w:val="-3"/>
        </w:rPr>
        <w:t>seasonal fluctuations with April and May being high months and November and December low months.  This is not unexpected in the home building industry for</w:t>
      </w:r>
      <w:r w:rsidR="00CE73EE">
        <w:rPr>
          <w:rFonts w:eastAsia="Times New Roman"/>
          <w:spacing w:val="-3"/>
        </w:rPr>
        <w:t xml:space="preserve"> new</w:t>
      </w:r>
      <w:r w:rsidR="001E6E6C">
        <w:rPr>
          <w:rFonts w:eastAsia="Times New Roman"/>
          <w:spacing w:val="-3"/>
        </w:rPr>
        <w:t xml:space="preserve"> home starts</w:t>
      </w:r>
      <w:r w:rsidR="00CE73EE">
        <w:rPr>
          <w:rFonts w:eastAsia="Times New Roman"/>
          <w:spacing w:val="-3"/>
        </w:rPr>
        <w:t xml:space="preserve"> often follow this pattern</w:t>
      </w:r>
      <w:r w:rsidR="001E6E6C">
        <w:rPr>
          <w:rFonts w:eastAsia="Times New Roman"/>
          <w:spacing w:val="-3"/>
        </w:rPr>
        <w:t xml:space="preserve">.  </w:t>
      </w:r>
      <w:r w:rsidRPr="00145374">
        <w:rPr>
          <w:rFonts w:eastAsia="Times New Roman"/>
          <w:spacing w:val="-3"/>
        </w:rPr>
        <w:t>In column 6 average seasonal ratios are computed.  These ratios are obtained by averaging the seasonal ratios from the same month in successive ye</w:t>
      </w:r>
      <w:r w:rsidR="001E6E6C">
        <w:rPr>
          <w:rFonts w:eastAsia="Times New Roman"/>
          <w:spacing w:val="-3"/>
        </w:rPr>
        <w:t>ars.  For example, the average July</w:t>
      </w:r>
      <w:r w:rsidRPr="00145374">
        <w:rPr>
          <w:rFonts w:eastAsia="Times New Roman"/>
          <w:spacing w:val="-3"/>
        </w:rPr>
        <w:t xml:space="preserve"> seasonal ratio is obt</w:t>
      </w:r>
      <w:r w:rsidR="001E6E6C">
        <w:rPr>
          <w:rFonts w:eastAsia="Times New Roman"/>
          <w:spacing w:val="-3"/>
        </w:rPr>
        <w:t>ained by averaging the July 2011, July 2012</w:t>
      </w:r>
      <w:r w:rsidRPr="00145374">
        <w:rPr>
          <w:rFonts w:eastAsia="Times New Roman"/>
          <w:spacing w:val="-3"/>
        </w:rPr>
        <w:t xml:space="preserve">, July </w:t>
      </w:r>
      <w:r w:rsidR="001E6E6C" w:rsidRPr="001E6E6C">
        <w:rPr>
          <w:rFonts w:eastAsia="Times New Roman"/>
          <w:spacing w:val="-3"/>
        </w:rPr>
        <w:t>2013</w:t>
      </w:r>
      <w:r w:rsidRPr="001E6E6C">
        <w:rPr>
          <w:rFonts w:eastAsia="Times New Roman"/>
          <w:spacing w:val="-3"/>
        </w:rPr>
        <w:t xml:space="preserve">, and July </w:t>
      </w:r>
      <w:r w:rsidR="001E6E6C">
        <w:rPr>
          <w:rFonts w:eastAsia="Times New Roman"/>
          <w:spacing w:val="-3"/>
        </w:rPr>
        <w:t>2014</w:t>
      </w:r>
      <w:r w:rsidRPr="00145374">
        <w:rPr>
          <w:rFonts w:eastAsia="Times New Roman"/>
          <w:spacing w:val="-3"/>
        </w:rPr>
        <w:t xml:space="preserve"> seasonal ratios.</w:t>
      </w: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t>When the resulting twelve seasonal ratio</w:t>
      </w:r>
      <w:r w:rsidR="007D5FDA">
        <w:rPr>
          <w:rFonts w:eastAsia="Times New Roman"/>
          <w:spacing w:val="-3"/>
        </w:rPr>
        <w:t>s</w:t>
      </w:r>
      <w:r w:rsidR="007146E0">
        <w:rPr>
          <w:rFonts w:eastAsia="Times New Roman"/>
          <w:spacing w:val="-3"/>
        </w:rPr>
        <w:t xml:space="preserve"> in column 6</w:t>
      </w:r>
      <w:r w:rsidR="007D5FDA">
        <w:rPr>
          <w:rFonts w:eastAsia="Times New Roman"/>
          <w:spacing w:val="-3"/>
        </w:rPr>
        <w:t xml:space="preserve"> are added the total is 12.011</w:t>
      </w:r>
      <w:r w:rsidRPr="00145374">
        <w:rPr>
          <w:rFonts w:eastAsia="Times New Roman"/>
          <w:spacing w:val="-3"/>
        </w:rPr>
        <w:t>.  The sum of these ratios should be 12 in accordance with the 12-month seasonal period, because the seasonal ratio is the percentage that a particular month is above or below the average.  In order to obtain a sum of 12, the seasonal ratios are normalized in column 7.  This is done by dividi</w:t>
      </w:r>
      <w:r w:rsidR="007D5FDA">
        <w:rPr>
          <w:rFonts w:eastAsia="Times New Roman"/>
          <w:spacing w:val="-3"/>
        </w:rPr>
        <w:t>ng each ratio by the sum 12.011</w:t>
      </w:r>
      <w:r w:rsidRPr="00145374">
        <w:rPr>
          <w:rFonts w:eastAsia="Times New Roman"/>
          <w:spacing w:val="-3"/>
        </w:rPr>
        <w:t xml:space="preserve"> and multiplying by 12.</w:t>
      </w: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t>A regression analysis is now run to fit a straight line through the moving average data in column 4.  The purpose of this regression is to forec</w:t>
      </w:r>
      <w:r w:rsidR="007D5FDA">
        <w:rPr>
          <w:rFonts w:eastAsia="Times New Roman"/>
          <w:spacing w:val="-3"/>
        </w:rPr>
        <w:t xml:space="preserve">ast the average level into 2016 </w:t>
      </w:r>
      <w:r w:rsidRPr="00145374">
        <w:rPr>
          <w:rFonts w:eastAsia="Times New Roman"/>
          <w:spacing w:val="-3"/>
        </w:rPr>
        <w:t>on a trend basis.  The seasonal ratios will then be applied to this trend to arrive at a forecast.  In Excel a regression function is provided.  In this case we have data from period 7 through period 54.  The formulas and procedure for calculating the regression equation are given in the text.  As a result of these calculations the following equation is obtained.</w:t>
      </w:r>
    </w:p>
    <w:p w:rsidR="00145374" w:rsidRPr="00145374" w:rsidRDefault="00145374"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Pr="00145374" w:rsidRDefault="00145374" w:rsidP="005133D3">
      <w:pPr>
        <w:tabs>
          <w:tab w:val="left" w:pos="-720"/>
        </w:tabs>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i/>
          <w:spacing w:val="-3"/>
        </w:rPr>
        <w:t>Y</w:t>
      </w:r>
      <w:r w:rsidR="007D5FDA">
        <w:rPr>
          <w:rFonts w:eastAsia="Times New Roman"/>
          <w:spacing w:val="-3"/>
        </w:rPr>
        <w:t xml:space="preserve"> = 996.6 + 12.368 </w:t>
      </w:r>
      <w:r w:rsidRPr="00145374">
        <w:rPr>
          <w:rFonts w:eastAsia="Times New Roman"/>
          <w:i/>
          <w:spacing w:val="-3"/>
        </w:rPr>
        <w:t>t</w:t>
      </w:r>
    </w:p>
    <w:p w:rsidR="00145374" w:rsidRPr="00145374" w:rsidRDefault="00145374"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Pr="00145374" w:rsidRDefault="00145374" w:rsidP="005133D3">
      <w:pPr>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t xml:space="preserve">Where </w:t>
      </w:r>
      <w:r w:rsidRPr="00145374">
        <w:rPr>
          <w:rFonts w:eastAsia="Times New Roman"/>
          <w:i/>
          <w:spacing w:val="-3"/>
        </w:rPr>
        <w:t>Y</w:t>
      </w:r>
      <w:r w:rsidRPr="00145374">
        <w:rPr>
          <w:rFonts w:eastAsia="Times New Roman"/>
          <w:spacing w:val="-3"/>
        </w:rPr>
        <w:t xml:space="preserve"> is the moving average and </w:t>
      </w:r>
      <w:r w:rsidRPr="00145374">
        <w:rPr>
          <w:rFonts w:eastAsia="Times New Roman"/>
          <w:i/>
          <w:spacing w:val="-3"/>
        </w:rPr>
        <w:t>t</w:t>
      </w:r>
      <w:r w:rsidRPr="00145374">
        <w:rPr>
          <w:rFonts w:eastAsia="Times New Roman"/>
          <w:spacing w:val="-3"/>
        </w:rPr>
        <w:t xml:space="preserve"> is the time period.</w:t>
      </w:r>
    </w:p>
    <w:p w:rsidR="00145374" w:rsidRPr="00145374" w:rsidRDefault="00145374"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145374" w:rsidRDefault="00145374" w:rsidP="005133D3">
      <w:pPr>
        <w:suppressAutoHyphens/>
        <w:overflowPunct w:val="0"/>
        <w:autoSpaceDE w:val="0"/>
        <w:autoSpaceDN w:val="0"/>
        <w:adjustRightInd w:val="0"/>
        <w:spacing w:line="259" w:lineRule="exact"/>
        <w:ind w:firstLine="0"/>
        <w:jc w:val="both"/>
        <w:textAlignment w:val="baseline"/>
        <w:rPr>
          <w:rFonts w:eastAsia="Times New Roman"/>
          <w:spacing w:val="-3"/>
        </w:rPr>
      </w:pPr>
      <w:r w:rsidRPr="00145374">
        <w:rPr>
          <w:rFonts w:eastAsia="Times New Roman"/>
          <w:spacing w:val="-3"/>
        </w:rPr>
        <w:t xml:space="preserve">To obtain the forecast of interest we calculate </w:t>
      </w:r>
      <w:r w:rsidRPr="00145374">
        <w:rPr>
          <w:rFonts w:eastAsia="Times New Roman"/>
          <w:i/>
          <w:spacing w:val="-3"/>
        </w:rPr>
        <w:t>Y</w:t>
      </w:r>
      <w:r w:rsidRPr="00145374">
        <w:rPr>
          <w:rFonts w:eastAsia="Times New Roman"/>
          <w:spacing w:val="-3"/>
        </w:rPr>
        <w:t xml:space="preserve"> from the above equati</w:t>
      </w:r>
      <w:r w:rsidR="007D5FDA">
        <w:rPr>
          <w:rFonts w:eastAsia="Times New Roman"/>
          <w:spacing w:val="-3"/>
        </w:rPr>
        <w:t>on for the twelve months of 2016</w:t>
      </w:r>
      <w:r w:rsidRPr="00145374">
        <w:rPr>
          <w:rFonts w:eastAsia="Times New Roman"/>
          <w:spacing w:val="-3"/>
        </w:rPr>
        <w:t xml:space="preserve">, which is </w:t>
      </w:r>
      <w:r w:rsidRPr="00145374">
        <w:rPr>
          <w:rFonts w:eastAsia="Times New Roman"/>
          <w:i/>
          <w:spacing w:val="-3"/>
        </w:rPr>
        <w:t>t</w:t>
      </w:r>
      <w:r w:rsidRPr="00145374">
        <w:rPr>
          <w:rFonts w:eastAsia="Times New Roman"/>
          <w:spacing w:val="-3"/>
        </w:rPr>
        <w:t xml:space="preserve"> = 61 through </w:t>
      </w:r>
      <w:r w:rsidRPr="00145374">
        <w:rPr>
          <w:rFonts w:eastAsia="Times New Roman"/>
          <w:i/>
          <w:spacing w:val="-3"/>
        </w:rPr>
        <w:t>t</w:t>
      </w:r>
      <w:r w:rsidRPr="00145374">
        <w:rPr>
          <w:rFonts w:eastAsia="Times New Roman"/>
          <w:spacing w:val="-3"/>
        </w:rPr>
        <w:t xml:space="preserve"> = 72.  </w:t>
      </w:r>
      <w:r w:rsidR="007D5FDA">
        <w:rPr>
          <w:rFonts w:eastAsia="Times New Roman"/>
          <w:spacing w:val="-3"/>
        </w:rPr>
        <w:t xml:space="preserve">The results are shown at the bottom of column 8.  </w:t>
      </w:r>
      <w:r w:rsidRPr="00145374">
        <w:rPr>
          <w:rFonts w:eastAsia="Times New Roman"/>
          <w:spacing w:val="-3"/>
        </w:rPr>
        <w:t xml:space="preserve">These </w:t>
      </w:r>
      <w:r w:rsidRPr="00145374">
        <w:rPr>
          <w:rFonts w:eastAsia="Times New Roman"/>
          <w:i/>
          <w:spacing w:val="-3"/>
        </w:rPr>
        <w:t>Y</w:t>
      </w:r>
      <w:r w:rsidRPr="00145374">
        <w:rPr>
          <w:rFonts w:eastAsia="Times New Roman"/>
          <w:spacing w:val="-3"/>
        </w:rPr>
        <w:t xml:space="preserve"> values are multiplied by the monthly average seasonal ratios </w:t>
      </w:r>
      <w:r w:rsidR="007D5FDA">
        <w:rPr>
          <w:rFonts w:eastAsia="Times New Roman"/>
          <w:spacing w:val="-3"/>
        </w:rPr>
        <w:t xml:space="preserve">in column 9 </w:t>
      </w:r>
      <w:r w:rsidR="007146E0">
        <w:rPr>
          <w:rFonts w:eastAsia="Times New Roman"/>
          <w:spacing w:val="-3"/>
        </w:rPr>
        <w:t xml:space="preserve">(also transposed from Column 7) </w:t>
      </w:r>
      <w:r w:rsidRPr="00145374">
        <w:rPr>
          <w:rFonts w:eastAsia="Times New Roman"/>
          <w:spacing w:val="-3"/>
        </w:rPr>
        <w:t>to arrive at the forecast for each month shown in Exhibit 1</w:t>
      </w:r>
      <w:r w:rsidR="007D5FDA">
        <w:rPr>
          <w:rFonts w:eastAsia="Times New Roman"/>
          <w:spacing w:val="-3"/>
        </w:rPr>
        <w:t>at the bottom of column 10</w:t>
      </w:r>
      <w:r w:rsidRPr="00145374">
        <w:rPr>
          <w:rFonts w:eastAsia="Times New Roman"/>
          <w:spacing w:val="-3"/>
        </w:rPr>
        <w:t xml:space="preserve">.  Note that the total of this forecast is </w:t>
      </w:r>
      <w:r w:rsidR="007D5FDA">
        <w:rPr>
          <w:rFonts w:eastAsia="Times New Roman"/>
          <w:spacing w:val="-3"/>
        </w:rPr>
        <w:t>21,794 homes sold in 2016.</w:t>
      </w: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r>
        <w:rPr>
          <w:rFonts w:eastAsia="Times New Roman"/>
          <w:spacing w:val="-3"/>
        </w:rPr>
        <w:t>Question 3:</w:t>
      </w: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r>
        <w:rPr>
          <w:rFonts w:eastAsia="Times New Roman"/>
          <w:spacing w:val="-3"/>
        </w:rPr>
        <w:t>The forecast obtained is a bit concerning.  Looking at the</w:t>
      </w:r>
      <w:r w:rsidR="00BE4ABD">
        <w:rPr>
          <w:rFonts w:eastAsia="Times New Roman"/>
          <w:spacing w:val="-3"/>
        </w:rPr>
        <w:t xml:space="preserve"> historical</w:t>
      </w:r>
      <w:r>
        <w:rPr>
          <w:rFonts w:eastAsia="Times New Roman"/>
          <w:spacing w:val="-3"/>
        </w:rPr>
        <w:t xml:space="preserve"> annual totals from the case we see.</w:t>
      </w: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tbl>
      <w:tblPr>
        <w:tblW w:w="5963" w:type="dxa"/>
        <w:tblInd w:w="93" w:type="dxa"/>
        <w:tblLook w:val="04A0" w:firstRow="1" w:lastRow="0" w:firstColumn="1" w:lastColumn="0" w:noHBand="0" w:noVBand="1"/>
      </w:tblPr>
      <w:tblGrid>
        <w:gridCol w:w="842"/>
        <w:gridCol w:w="1025"/>
        <w:gridCol w:w="1024"/>
        <w:gridCol w:w="1024"/>
        <w:gridCol w:w="1024"/>
        <w:gridCol w:w="1024"/>
      </w:tblGrid>
      <w:tr w:rsidR="00A4695B" w:rsidRPr="004C4C46" w:rsidTr="005A276F">
        <w:trPr>
          <w:trHeight w:val="305"/>
        </w:trPr>
        <w:tc>
          <w:tcPr>
            <w:tcW w:w="842"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color w:val="000000"/>
                <w:sz w:val="22"/>
                <w:szCs w:val="22"/>
              </w:rPr>
            </w:pPr>
          </w:p>
        </w:tc>
        <w:tc>
          <w:tcPr>
            <w:tcW w:w="1025" w:type="dxa"/>
            <w:tcBorders>
              <w:top w:val="nil"/>
              <w:left w:val="nil"/>
              <w:bottom w:val="single" w:sz="4" w:space="0" w:color="auto"/>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color w:val="000000"/>
                <w:sz w:val="22"/>
                <w:szCs w:val="22"/>
              </w:rPr>
            </w:pPr>
            <w:r w:rsidRPr="004C4C46">
              <w:rPr>
                <w:rFonts w:ascii="Calibri" w:eastAsia="Times New Roman" w:hAnsi="Calibri"/>
                <w:color w:val="000000"/>
                <w:sz w:val="22"/>
                <w:szCs w:val="22"/>
              </w:rPr>
              <w:t>2011</w:t>
            </w:r>
          </w:p>
        </w:tc>
        <w:tc>
          <w:tcPr>
            <w:tcW w:w="1024" w:type="dxa"/>
            <w:tcBorders>
              <w:top w:val="nil"/>
              <w:left w:val="nil"/>
              <w:bottom w:val="single" w:sz="4" w:space="0" w:color="auto"/>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color w:val="000000"/>
                <w:sz w:val="22"/>
                <w:szCs w:val="22"/>
              </w:rPr>
            </w:pPr>
            <w:r w:rsidRPr="004C4C46">
              <w:rPr>
                <w:rFonts w:ascii="Calibri" w:eastAsia="Times New Roman" w:hAnsi="Calibri"/>
                <w:color w:val="000000"/>
                <w:sz w:val="22"/>
                <w:szCs w:val="22"/>
              </w:rPr>
              <w:t>2012</w:t>
            </w:r>
          </w:p>
        </w:tc>
        <w:tc>
          <w:tcPr>
            <w:tcW w:w="1024" w:type="dxa"/>
            <w:tcBorders>
              <w:top w:val="nil"/>
              <w:left w:val="nil"/>
              <w:bottom w:val="single" w:sz="4" w:space="0" w:color="auto"/>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color w:val="000000"/>
                <w:sz w:val="22"/>
                <w:szCs w:val="22"/>
              </w:rPr>
            </w:pPr>
            <w:r w:rsidRPr="004C4C46">
              <w:rPr>
                <w:rFonts w:ascii="Calibri" w:eastAsia="Times New Roman" w:hAnsi="Calibri"/>
                <w:color w:val="000000"/>
                <w:sz w:val="22"/>
                <w:szCs w:val="22"/>
              </w:rPr>
              <w:t>2013</w:t>
            </w:r>
          </w:p>
        </w:tc>
        <w:tc>
          <w:tcPr>
            <w:tcW w:w="1024" w:type="dxa"/>
            <w:tcBorders>
              <w:top w:val="nil"/>
              <w:left w:val="nil"/>
              <w:bottom w:val="single" w:sz="4" w:space="0" w:color="auto"/>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color w:val="000000"/>
                <w:sz w:val="22"/>
                <w:szCs w:val="22"/>
              </w:rPr>
            </w:pPr>
            <w:r w:rsidRPr="004C4C46">
              <w:rPr>
                <w:rFonts w:ascii="Calibri" w:eastAsia="Times New Roman" w:hAnsi="Calibri"/>
                <w:color w:val="000000"/>
                <w:sz w:val="22"/>
                <w:szCs w:val="22"/>
              </w:rPr>
              <w:t>2014</w:t>
            </w:r>
          </w:p>
        </w:tc>
        <w:tc>
          <w:tcPr>
            <w:tcW w:w="1024" w:type="dxa"/>
            <w:tcBorders>
              <w:top w:val="nil"/>
              <w:left w:val="nil"/>
              <w:bottom w:val="single" w:sz="4" w:space="0" w:color="auto"/>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color w:val="000000"/>
                <w:sz w:val="22"/>
                <w:szCs w:val="22"/>
              </w:rPr>
            </w:pPr>
            <w:r w:rsidRPr="004C4C46">
              <w:rPr>
                <w:rFonts w:ascii="Calibri" w:eastAsia="Times New Roman" w:hAnsi="Calibri"/>
                <w:color w:val="000000"/>
                <w:sz w:val="22"/>
                <w:szCs w:val="22"/>
              </w:rPr>
              <w:t>2015</w:t>
            </w:r>
          </w:p>
        </w:tc>
      </w:tr>
      <w:tr w:rsidR="00A4695B" w:rsidRPr="004C4C46" w:rsidTr="005A276F">
        <w:trPr>
          <w:trHeight w:val="305"/>
        </w:trPr>
        <w:tc>
          <w:tcPr>
            <w:tcW w:w="842"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b/>
                <w:color w:val="000000"/>
                <w:sz w:val="22"/>
                <w:szCs w:val="22"/>
              </w:rPr>
            </w:pPr>
            <w:r w:rsidRPr="004C4C46">
              <w:rPr>
                <w:rFonts w:ascii="Calibri" w:eastAsia="Times New Roman" w:hAnsi="Calibri"/>
                <w:b/>
                <w:color w:val="000000"/>
                <w:sz w:val="22"/>
                <w:szCs w:val="22"/>
              </w:rPr>
              <w:t>Total</w:t>
            </w:r>
          </w:p>
        </w:tc>
        <w:tc>
          <w:tcPr>
            <w:tcW w:w="1025"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b/>
                <w:color w:val="000000"/>
                <w:sz w:val="22"/>
                <w:szCs w:val="22"/>
              </w:rPr>
            </w:pPr>
            <w:r w:rsidRPr="004C4C46">
              <w:rPr>
                <w:rFonts w:ascii="Calibri" w:eastAsia="Times New Roman" w:hAnsi="Calibri"/>
                <w:b/>
                <w:color w:val="000000"/>
                <w:sz w:val="22"/>
                <w:szCs w:val="22"/>
              </w:rPr>
              <w:t>12200</w:t>
            </w:r>
          </w:p>
        </w:tc>
        <w:tc>
          <w:tcPr>
            <w:tcW w:w="1024"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b/>
                <w:color w:val="000000"/>
                <w:sz w:val="22"/>
                <w:szCs w:val="22"/>
              </w:rPr>
            </w:pPr>
            <w:r w:rsidRPr="004C4C46">
              <w:rPr>
                <w:rFonts w:ascii="Calibri" w:eastAsia="Times New Roman" w:hAnsi="Calibri"/>
                <w:b/>
                <w:color w:val="000000"/>
                <w:sz w:val="22"/>
                <w:szCs w:val="22"/>
              </w:rPr>
              <w:t>14760</w:t>
            </w:r>
          </w:p>
        </w:tc>
        <w:tc>
          <w:tcPr>
            <w:tcW w:w="1024"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b/>
                <w:color w:val="000000"/>
                <w:sz w:val="22"/>
                <w:szCs w:val="22"/>
              </w:rPr>
            </w:pPr>
            <w:r w:rsidRPr="004C4C46">
              <w:rPr>
                <w:rFonts w:ascii="Calibri" w:eastAsia="Times New Roman" w:hAnsi="Calibri"/>
                <w:b/>
                <w:color w:val="000000"/>
                <w:sz w:val="22"/>
                <w:szCs w:val="22"/>
              </w:rPr>
              <w:t>17160</w:t>
            </w:r>
          </w:p>
        </w:tc>
        <w:tc>
          <w:tcPr>
            <w:tcW w:w="1024"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b/>
                <w:color w:val="000000"/>
                <w:sz w:val="22"/>
                <w:szCs w:val="22"/>
              </w:rPr>
            </w:pPr>
            <w:r w:rsidRPr="004C4C46">
              <w:rPr>
                <w:rFonts w:ascii="Calibri" w:eastAsia="Times New Roman" w:hAnsi="Calibri"/>
                <w:b/>
                <w:color w:val="000000"/>
                <w:sz w:val="22"/>
                <w:szCs w:val="22"/>
              </w:rPr>
              <w:t>17560</w:t>
            </w:r>
          </w:p>
        </w:tc>
        <w:tc>
          <w:tcPr>
            <w:tcW w:w="1024" w:type="dxa"/>
            <w:tcBorders>
              <w:top w:val="nil"/>
              <w:left w:val="nil"/>
              <w:bottom w:val="nil"/>
              <w:right w:val="nil"/>
            </w:tcBorders>
            <w:shd w:val="clear" w:color="auto" w:fill="auto"/>
            <w:noWrap/>
            <w:vAlign w:val="bottom"/>
            <w:hideMark/>
          </w:tcPr>
          <w:p w:rsidR="00A4695B" w:rsidRPr="004C4C46" w:rsidRDefault="00A4695B" w:rsidP="005133D3">
            <w:pPr>
              <w:ind w:firstLine="0"/>
              <w:jc w:val="both"/>
              <w:rPr>
                <w:rFonts w:ascii="Calibri" w:eastAsia="Times New Roman" w:hAnsi="Calibri"/>
                <w:b/>
                <w:color w:val="000000"/>
                <w:sz w:val="22"/>
                <w:szCs w:val="22"/>
              </w:rPr>
            </w:pPr>
            <w:r w:rsidRPr="004C4C46">
              <w:rPr>
                <w:rFonts w:ascii="Calibri" w:eastAsia="Times New Roman" w:hAnsi="Calibri"/>
                <w:b/>
                <w:color w:val="000000"/>
                <w:sz w:val="22"/>
                <w:szCs w:val="22"/>
              </w:rPr>
              <w:t>20040</w:t>
            </w:r>
          </w:p>
        </w:tc>
      </w:tr>
    </w:tbl>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r>
        <w:rPr>
          <w:rFonts w:eastAsia="Times New Roman"/>
          <w:spacing w:val="-3"/>
        </w:rPr>
        <w:lastRenderedPageBreak/>
        <w:t>Note, that the total sales leveled out in 2013 and 2014, but exhibited a substantial jump in 2015.  The increase from 2014 to 2015 was 2,480 homes.  But our forecast from the time series decomposition is only (21,794 – 20,040) = 1,754.</w:t>
      </w: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A4695B"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r>
        <w:rPr>
          <w:rFonts w:eastAsia="Times New Roman"/>
          <w:spacing w:val="-3"/>
        </w:rPr>
        <w:t xml:space="preserve">The question is why the large increase from 2014 to 2015?  Can this be expected to continue, or will sales revert </w:t>
      </w:r>
      <w:r w:rsidR="00B60AA2">
        <w:rPr>
          <w:rFonts w:eastAsia="Times New Roman"/>
          <w:spacing w:val="-3"/>
        </w:rPr>
        <w:t xml:space="preserve">to the </w:t>
      </w:r>
      <w:r>
        <w:rPr>
          <w:rFonts w:eastAsia="Times New Roman"/>
          <w:spacing w:val="-3"/>
        </w:rPr>
        <w:t xml:space="preserve">more </w:t>
      </w:r>
      <w:r w:rsidR="005133D3">
        <w:rPr>
          <w:rFonts w:eastAsia="Times New Roman"/>
          <w:spacing w:val="-3"/>
        </w:rPr>
        <w:t xml:space="preserve">normal increase </w:t>
      </w:r>
      <w:r w:rsidR="007146E0">
        <w:rPr>
          <w:rFonts w:eastAsia="Times New Roman"/>
          <w:spacing w:val="-3"/>
        </w:rPr>
        <w:t>of approximately 1754?</w:t>
      </w:r>
      <w:r>
        <w:rPr>
          <w:rFonts w:eastAsia="Times New Roman"/>
          <w:spacing w:val="-3"/>
        </w:rPr>
        <w:t xml:space="preserve">  This may be where the regional sales forecasts from the field might be helpful.  What trends are they seeing and can we assume similar increases or more of the normal increase based on past data.  The final forecast will probably be somewhat of a combination of what we obtained from the data and what the sales regions are seeing.</w:t>
      </w:r>
      <w:r w:rsidR="005133D3">
        <w:rPr>
          <w:rFonts w:eastAsia="Times New Roman"/>
          <w:spacing w:val="-3"/>
        </w:rPr>
        <w:t xml:space="preserve">  This could lead to a lively discussion about whether sales people are overly optimistic in setting sales forecasts, assuming they are larger, or whether Best Homes should rely more on the data.  Of course, this is also critical in setting the company’s overall sales, net income and earnings projections for the coming year. </w:t>
      </w:r>
      <w:r w:rsidR="007146E0">
        <w:rPr>
          <w:rFonts w:eastAsia="Times New Roman"/>
          <w:spacing w:val="-3"/>
        </w:rPr>
        <w:t>Forecasting will affect not only Operations, but Financial, Marketing, Sales and HR planning.</w:t>
      </w:r>
      <w:bookmarkStart w:id="0" w:name="_GoBack"/>
      <w:bookmarkEnd w:id="0"/>
    </w:p>
    <w:p w:rsidR="00A4695B" w:rsidRPr="00145374" w:rsidRDefault="00A4695B" w:rsidP="005133D3">
      <w:pPr>
        <w:suppressAutoHyphens/>
        <w:overflowPunct w:val="0"/>
        <w:autoSpaceDE w:val="0"/>
        <w:autoSpaceDN w:val="0"/>
        <w:adjustRightInd w:val="0"/>
        <w:spacing w:line="259" w:lineRule="exact"/>
        <w:ind w:firstLine="0"/>
        <w:jc w:val="both"/>
        <w:textAlignment w:val="baseline"/>
        <w:rPr>
          <w:rFonts w:eastAsia="Times New Roman"/>
          <w:spacing w:val="-3"/>
        </w:rPr>
      </w:pPr>
    </w:p>
    <w:p w:rsidR="008F2687" w:rsidRDefault="00445C07" w:rsidP="00445C07">
      <w:pPr>
        <w:ind w:firstLine="0"/>
        <w:jc w:val="both"/>
        <w:rPr>
          <w:u w:val="single"/>
        </w:rPr>
      </w:pPr>
      <w:r w:rsidRPr="00445C07">
        <w:rPr>
          <w:noProof/>
        </w:rPr>
        <w:lastRenderedPageBreak/>
        <w:drawing>
          <wp:inline distT="0" distB="0" distL="0" distR="0" wp14:anchorId="64DE32B9" wp14:editId="3B4CCAD6">
            <wp:extent cx="5486400" cy="78171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7817122"/>
                    </a:xfrm>
                    <a:prstGeom prst="rect">
                      <a:avLst/>
                    </a:prstGeom>
                    <a:noFill/>
                    <a:ln>
                      <a:noFill/>
                    </a:ln>
                  </pic:spPr>
                </pic:pic>
              </a:graphicData>
            </a:graphic>
          </wp:inline>
        </w:drawing>
      </w:r>
    </w:p>
    <w:p w:rsidR="00445C07" w:rsidRDefault="00445C07" w:rsidP="00445C07">
      <w:pPr>
        <w:ind w:firstLine="0"/>
        <w:jc w:val="both"/>
        <w:rPr>
          <w:u w:val="single"/>
        </w:rPr>
      </w:pPr>
    </w:p>
    <w:p w:rsidR="00445C07" w:rsidRDefault="00445C07" w:rsidP="00445C07">
      <w:pPr>
        <w:ind w:firstLine="0"/>
        <w:jc w:val="both"/>
        <w:rPr>
          <w:u w:val="single"/>
        </w:rPr>
      </w:pPr>
    </w:p>
    <w:p w:rsidR="00445C07" w:rsidRDefault="00445C07" w:rsidP="00445C07">
      <w:pPr>
        <w:ind w:firstLine="0"/>
        <w:jc w:val="both"/>
        <w:rPr>
          <w:u w:val="single"/>
        </w:rPr>
      </w:pPr>
      <w:r w:rsidRPr="00445C07">
        <w:rPr>
          <w:noProof/>
        </w:rPr>
        <w:lastRenderedPageBreak/>
        <w:drawing>
          <wp:inline distT="0" distB="0" distL="0" distR="0" wp14:anchorId="70DB751A" wp14:editId="2E284D53">
            <wp:extent cx="5486400" cy="72167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21670"/>
                    </a:xfrm>
                    <a:prstGeom prst="rect">
                      <a:avLst/>
                    </a:prstGeom>
                    <a:noFill/>
                    <a:ln>
                      <a:noFill/>
                    </a:ln>
                  </pic:spPr>
                </pic:pic>
              </a:graphicData>
            </a:graphic>
          </wp:inline>
        </w:drawing>
      </w:r>
    </w:p>
    <w:p w:rsidR="00445C07" w:rsidRPr="00145374" w:rsidRDefault="00445C07" w:rsidP="00445C07">
      <w:pPr>
        <w:ind w:firstLine="0"/>
        <w:jc w:val="both"/>
        <w:rPr>
          <w:u w:val="single"/>
        </w:rPr>
      </w:pPr>
      <w:r w:rsidRPr="00445C07">
        <w:rPr>
          <w:noProof/>
        </w:rPr>
        <w:drawing>
          <wp:inline distT="0" distB="0" distL="0" distR="0" wp14:anchorId="2BC4B92C" wp14:editId="35008BDA">
            <wp:extent cx="5486400" cy="45188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518852"/>
                    </a:xfrm>
                    <a:prstGeom prst="rect">
                      <a:avLst/>
                    </a:prstGeom>
                    <a:noFill/>
                    <a:ln>
                      <a:noFill/>
                    </a:ln>
                  </pic:spPr>
                </pic:pic>
              </a:graphicData>
            </a:graphic>
          </wp:inline>
        </w:drawing>
      </w:r>
    </w:p>
    <w:sectPr w:rsidR="00445C07" w:rsidRPr="00145374" w:rsidSect="00145374">
      <w:footerReference w:type="default" r:id="rId11"/>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16A" w:rsidRDefault="0095016A" w:rsidP="00D31607">
      <w:r>
        <w:separator/>
      </w:r>
    </w:p>
  </w:endnote>
  <w:endnote w:type="continuationSeparator" w:id="0">
    <w:p w:rsidR="0095016A" w:rsidRDefault="0095016A" w:rsidP="00D3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114211"/>
      <w:docPartObj>
        <w:docPartGallery w:val="Page Numbers (Bottom of Page)"/>
        <w:docPartUnique/>
      </w:docPartObj>
    </w:sdtPr>
    <w:sdtEndPr>
      <w:rPr>
        <w:noProof/>
      </w:rPr>
    </w:sdtEndPr>
    <w:sdtContent>
      <w:p w:rsidR="00D31607" w:rsidRDefault="00D31607">
        <w:pPr>
          <w:pStyle w:val="Footer"/>
          <w:jc w:val="center"/>
        </w:pPr>
        <w:r>
          <w:fldChar w:fldCharType="begin"/>
        </w:r>
        <w:r>
          <w:instrText xml:space="preserve"> PAGE   \* MERGEFORMAT </w:instrText>
        </w:r>
        <w:r>
          <w:fldChar w:fldCharType="separate"/>
        </w:r>
        <w:r w:rsidR="00BE4ABD">
          <w:rPr>
            <w:noProof/>
          </w:rPr>
          <w:t>1</w:t>
        </w:r>
        <w:r>
          <w:rPr>
            <w:noProof/>
          </w:rPr>
          <w:fldChar w:fldCharType="end"/>
        </w:r>
      </w:p>
    </w:sdtContent>
  </w:sdt>
  <w:p w:rsidR="00D31607" w:rsidRDefault="00D316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16A" w:rsidRDefault="0095016A" w:rsidP="00D31607">
      <w:r>
        <w:separator/>
      </w:r>
    </w:p>
  </w:footnote>
  <w:footnote w:type="continuationSeparator" w:id="0">
    <w:p w:rsidR="0095016A" w:rsidRDefault="0095016A" w:rsidP="00D316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C2A1C"/>
    <w:multiLevelType w:val="hybridMultilevel"/>
    <w:tmpl w:val="E70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04"/>
    <w:rsid w:val="000267C2"/>
    <w:rsid w:val="00145374"/>
    <w:rsid w:val="001E6E6C"/>
    <w:rsid w:val="002A223A"/>
    <w:rsid w:val="00445C07"/>
    <w:rsid w:val="005133D3"/>
    <w:rsid w:val="007146E0"/>
    <w:rsid w:val="007B4BC1"/>
    <w:rsid w:val="007D5FDA"/>
    <w:rsid w:val="008E09BA"/>
    <w:rsid w:val="008F2687"/>
    <w:rsid w:val="0095016A"/>
    <w:rsid w:val="00974D04"/>
    <w:rsid w:val="00A4695B"/>
    <w:rsid w:val="00B60AA2"/>
    <w:rsid w:val="00BE4ABD"/>
    <w:rsid w:val="00CE73EE"/>
    <w:rsid w:val="00D31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7C2"/>
    <w:pPr>
      <w:ind w:left="720"/>
      <w:contextualSpacing/>
    </w:pPr>
  </w:style>
  <w:style w:type="paragraph" w:styleId="Header">
    <w:name w:val="header"/>
    <w:basedOn w:val="Normal"/>
    <w:link w:val="HeaderChar"/>
    <w:uiPriority w:val="99"/>
    <w:unhideWhenUsed/>
    <w:rsid w:val="00D31607"/>
    <w:pPr>
      <w:tabs>
        <w:tab w:val="center" w:pos="4680"/>
        <w:tab w:val="right" w:pos="9360"/>
      </w:tabs>
    </w:pPr>
  </w:style>
  <w:style w:type="character" w:customStyle="1" w:styleId="HeaderChar">
    <w:name w:val="Header Char"/>
    <w:basedOn w:val="DefaultParagraphFont"/>
    <w:link w:val="Header"/>
    <w:uiPriority w:val="99"/>
    <w:rsid w:val="00D31607"/>
  </w:style>
  <w:style w:type="paragraph" w:styleId="Footer">
    <w:name w:val="footer"/>
    <w:basedOn w:val="Normal"/>
    <w:link w:val="FooterChar"/>
    <w:uiPriority w:val="99"/>
    <w:unhideWhenUsed/>
    <w:rsid w:val="00D31607"/>
    <w:pPr>
      <w:tabs>
        <w:tab w:val="center" w:pos="4680"/>
        <w:tab w:val="right" w:pos="9360"/>
      </w:tabs>
    </w:pPr>
  </w:style>
  <w:style w:type="character" w:customStyle="1" w:styleId="FooterChar">
    <w:name w:val="Footer Char"/>
    <w:basedOn w:val="DefaultParagraphFont"/>
    <w:link w:val="Footer"/>
    <w:uiPriority w:val="99"/>
    <w:rsid w:val="00D31607"/>
  </w:style>
  <w:style w:type="paragraph" w:styleId="BalloonText">
    <w:name w:val="Balloon Text"/>
    <w:basedOn w:val="Normal"/>
    <w:link w:val="BalloonTextChar"/>
    <w:uiPriority w:val="99"/>
    <w:semiHidden/>
    <w:unhideWhenUsed/>
    <w:rsid w:val="00445C07"/>
    <w:rPr>
      <w:rFonts w:ascii="Tahoma" w:hAnsi="Tahoma" w:cs="Tahoma"/>
      <w:sz w:val="16"/>
      <w:szCs w:val="16"/>
    </w:rPr>
  </w:style>
  <w:style w:type="character" w:customStyle="1" w:styleId="BalloonTextChar">
    <w:name w:val="Balloon Text Char"/>
    <w:basedOn w:val="DefaultParagraphFont"/>
    <w:link w:val="BalloonText"/>
    <w:uiPriority w:val="99"/>
    <w:semiHidden/>
    <w:rsid w:val="00445C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7C2"/>
    <w:pPr>
      <w:ind w:left="720"/>
      <w:contextualSpacing/>
    </w:pPr>
  </w:style>
  <w:style w:type="paragraph" w:styleId="Header">
    <w:name w:val="header"/>
    <w:basedOn w:val="Normal"/>
    <w:link w:val="HeaderChar"/>
    <w:uiPriority w:val="99"/>
    <w:unhideWhenUsed/>
    <w:rsid w:val="00D31607"/>
    <w:pPr>
      <w:tabs>
        <w:tab w:val="center" w:pos="4680"/>
        <w:tab w:val="right" w:pos="9360"/>
      </w:tabs>
    </w:pPr>
  </w:style>
  <w:style w:type="character" w:customStyle="1" w:styleId="HeaderChar">
    <w:name w:val="Header Char"/>
    <w:basedOn w:val="DefaultParagraphFont"/>
    <w:link w:val="Header"/>
    <w:uiPriority w:val="99"/>
    <w:rsid w:val="00D31607"/>
  </w:style>
  <w:style w:type="paragraph" w:styleId="Footer">
    <w:name w:val="footer"/>
    <w:basedOn w:val="Normal"/>
    <w:link w:val="FooterChar"/>
    <w:uiPriority w:val="99"/>
    <w:unhideWhenUsed/>
    <w:rsid w:val="00D31607"/>
    <w:pPr>
      <w:tabs>
        <w:tab w:val="center" w:pos="4680"/>
        <w:tab w:val="right" w:pos="9360"/>
      </w:tabs>
    </w:pPr>
  </w:style>
  <w:style w:type="character" w:customStyle="1" w:styleId="FooterChar">
    <w:name w:val="Footer Char"/>
    <w:basedOn w:val="DefaultParagraphFont"/>
    <w:link w:val="Footer"/>
    <w:uiPriority w:val="99"/>
    <w:rsid w:val="00D31607"/>
  </w:style>
  <w:style w:type="paragraph" w:styleId="BalloonText">
    <w:name w:val="Balloon Text"/>
    <w:basedOn w:val="Normal"/>
    <w:link w:val="BalloonTextChar"/>
    <w:uiPriority w:val="99"/>
    <w:semiHidden/>
    <w:unhideWhenUsed/>
    <w:rsid w:val="00445C07"/>
    <w:rPr>
      <w:rFonts w:ascii="Tahoma" w:hAnsi="Tahoma" w:cs="Tahoma"/>
      <w:sz w:val="16"/>
      <w:szCs w:val="16"/>
    </w:rPr>
  </w:style>
  <w:style w:type="character" w:customStyle="1" w:styleId="BalloonTextChar">
    <w:name w:val="Balloon Text Char"/>
    <w:basedOn w:val="DefaultParagraphFont"/>
    <w:link w:val="BalloonText"/>
    <w:uiPriority w:val="99"/>
    <w:semiHidden/>
    <w:rsid w:val="00445C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6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5</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schroeder</dc:creator>
  <cp:lastModifiedBy>roger schroeder</cp:lastModifiedBy>
  <cp:revision>9</cp:revision>
  <dcterms:created xsi:type="dcterms:W3CDTF">2016-08-29T21:07:00Z</dcterms:created>
  <dcterms:modified xsi:type="dcterms:W3CDTF">2016-08-31T16:55:00Z</dcterms:modified>
</cp:coreProperties>
</file>